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24C3" w14:textId="2300EE73" w:rsidR="007D73CE" w:rsidRPr="00B23B9B" w:rsidRDefault="003A066A" w:rsidP="00F16BBA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</w:t>
      </w:r>
      <w:r w:rsidR="00B23B9B">
        <w:rPr>
          <w:rFonts w:ascii="Sylfaen" w:hAnsi="Sylfaen" w:cs="Sylfaen"/>
          <w:b/>
          <w:sz w:val="20"/>
          <w:szCs w:val="20"/>
          <w:lang w:val="ka-GE"/>
        </w:rPr>
        <w:t>ნ</w:t>
      </w:r>
      <w:r w:rsidR="00F16BBA">
        <w:rPr>
          <w:rFonts w:ascii="Sylfaen" w:hAnsi="Sylfaen" w:cs="Sylfaen"/>
          <w:b/>
          <w:sz w:val="20"/>
          <w:szCs w:val="20"/>
          <w:lang w:val="ka-GE"/>
        </w:rPr>
        <w:t>დ ფაუერი“ აცხადებს ტენდერს № 104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 ერთ ლოტად, </w:t>
      </w:r>
      <w:r w:rsidR="00F16BBA">
        <w:rPr>
          <w:rFonts w:ascii="Sylfaen" w:hAnsi="Sylfaen" w:cs="Sylfaen"/>
          <w:b/>
          <w:sz w:val="20"/>
          <w:szCs w:val="20"/>
          <w:lang w:val="ka-GE"/>
        </w:rPr>
        <w:t>44 რეზერვუარის ინტერნეტკავშირით უზრუნველყოფის შესახებ.</w:t>
      </w:r>
    </w:p>
    <w:p w14:paraId="6E57CB40" w14:textId="77777777" w:rsidR="00B23B9B" w:rsidRDefault="00B23B9B" w:rsidP="007D73CE">
      <w:pPr>
        <w:rPr>
          <w:rFonts w:ascii="Sylfaen" w:hAnsi="Sylfaen"/>
          <w:b/>
          <w:sz w:val="20"/>
          <w:szCs w:val="20"/>
          <w:lang w:val="ka-GE"/>
        </w:rPr>
      </w:pPr>
    </w:p>
    <w:p w14:paraId="6D8040BC" w14:textId="20F4E73D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6DAA1859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17503E5" w14:textId="77777777" w:rsidR="009F10E9" w:rsidRPr="00845E69" w:rsidRDefault="009F10E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281BEA18" w14:textId="74A1AD3D" w:rsidR="00065212" w:rsidRPr="00845E69" w:rsidRDefault="00D30223" w:rsidP="00F16BBA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“ </w:t>
      </w:r>
      <w:r w:rsidR="00713EFC" w:rsidRPr="00B23B9B">
        <w:rPr>
          <w:rFonts w:ascii="Sylfaen" w:hAnsi="Sylfaen" w:cs="Sylfaen"/>
          <w:sz w:val="20"/>
          <w:szCs w:val="20"/>
          <w:lang w:val="ka-GE"/>
        </w:rPr>
        <w:t>(GWP)</w:t>
      </w:r>
      <w:r w:rsidR="003A066A"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>იწვევს კვალიფიციურ კომპანიებს მიიღონ მონაწილეობა  ტენდერში</w:t>
      </w:r>
      <w:r w:rsidR="00A74B75" w:rsidRPr="00845E69">
        <w:rPr>
          <w:rFonts w:ascii="Sylfaen" w:hAnsi="Sylfaen" w:cs="Sylfaen"/>
          <w:sz w:val="20"/>
          <w:szCs w:val="20"/>
          <w:lang w:val="ka-GE"/>
        </w:rPr>
        <w:t>.</w:t>
      </w:r>
      <w:r w:rsidR="003A066A" w:rsidRPr="00845E69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F10E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B23B9B">
        <w:rPr>
          <w:rFonts w:ascii="Sylfaen" w:hAnsi="Sylfaen" w:cs="Sylfaen"/>
          <w:sz w:val="20"/>
          <w:szCs w:val="20"/>
        </w:rPr>
        <w:t>,</w:t>
      </w:r>
      <w:r w:rsidR="009F10E9">
        <w:rPr>
          <w:rFonts w:ascii="Sylfaen" w:hAnsi="Sylfaen" w:cs="Sylfaen"/>
          <w:sz w:val="20"/>
          <w:szCs w:val="20"/>
          <w:lang w:val="ka-GE"/>
        </w:rPr>
        <w:t xml:space="preserve"> რომელიც უზრუნველყოფს </w:t>
      </w:r>
      <w:r w:rsidR="00F16BBA">
        <w:rPr>
          <w:rFonts w:ascii="Sylfaen" w:hAnsi="Sylfaen" w:cs="Sylfaen"/>
          <w:b/>
          <w:sz w:val="20"/>
          <w:szCs w:val="20"/>
          <w:lang w:val="ka-GE"/>
        </w:rPr>
        <w:t>44 რეზერვუარის ინტერნეტკავშირით უზრუნველყოფას</w:t>
      </w:r>
      <w:r w:rsidR="00024B33" w:rsidRPr="00B23B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16BBA">
        <w:rPr>
          <w:rFonts w:ascii="Sylfaen" w:hAnsi="Sylfaen" w:cs="Sylfaen"/>
          <w:sz w:val="20"/>
          <w:szCs w:val="20"/>
          <w:lang w:val="ka-GE"/>
        </w:rPr>
        <w:t>დანართი 1</w:t>
      </w:r>
      <w:r w:rsidR="009F10E9">
        <w:rPr>
          <w:rFonts w:ascii="Sylfaen" w:hAnsi="Sylfaen" w:cs="Sylfaen"/>
          <w:sz w:val="20"/>
          <w:szCs w:val="20"/>
          <w:lang w:val="ka-GE"/>
        </w:rPr>
        <w:t>-</w:t>
      </w:r>
      <w:r w:rsidR="00F16BBA">
        <w:rPr>
          <w:rFonts w:ascii="Sylfaen" w:hAnsi="Sylfaen" w:cs="Sylfaen"/>
          <w:sz w:val="20"/>
          <w:szCs w:val="20"/>
          <w:lang w:val="ka-GE"/>
        </w:rPr>
        <w:t>ში მოცემული ტექნიკური მონაცემების</w:t>
      </w:r>
      <w:r w:rsidR="00015325">
        <w:rPr>
          <w:rFonts w:ascii="Sylfaen" w:hAnsi="Sylfaen" w:cs="Sylfaen"/>
          <w:sz w:val="20"/>
          <w:szCs w:val="20"/>
          <w:lang w:val="ka-GE"/>
        </w:rPr>
        <w:t xml:space="preserve">ა </w:t>
      </w:r>
      <w:r w:rsidR="00F16BBA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="00015325">
        <w:rPr>
          <w:rFonts w:ascii="Sylfaen" w:hAnsi="Sylfaen" w:cs="Sylfaen"/>
          <w:sz w:val="20"/>
          <w:szCs w:val="20"/>
          <w:lang w:val="ka-GE"/>
        </w:rPr>
        <w:t xml:space="preserve">. რეზერვუარების დეტალური მონაცემები წარმოდგენილია დანართი 2-ის სახით.  </w:t>
      </w:r>
    </w:p>
    <w:p w14:paraId="4DC58C5A" w14:textId="183C1BBA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3FAFD34" w14:textId="360BEBAE" w:rsidR="00237416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 xml:space="preserve">წარმოდგენის </w:t>
      </w:r>
      <w:r w:rsidR="00302948" w:rsidRPr="00D60AF7">
        <w:rPr>
          <w:rFonts w:ascii="Sylfaen" w:hAnsi="Sylfaen"/>
          <w:b/>
          <w:sz w:val="20"/>
          <w:szCs w:val="20"/>
          <w:lang w:val="ka-GE"/>
        </w:rPr>
        <w:t>ვადა</w:t>
      </w:r>
      <w:r w:rsidR="00237416" w:rsidRPr="00D60AF7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F16BBA">
        <w:rPr>
          <w:rFonts w:ascii="Sylfaen" w:hAnsi="Sylfaen"/>
          <w:b/>
          <w:sz w:val="20"/>
          <w:szCs w:val="20"/>
          <w:lang w:val="ka-GE"/>
        </w:rPr>
        <w:t>4</w:t>
      </w:r>
      <w:r w:rsidR="00B23B9B">
        <w:rPr>
          <w:rFonts w:ascii="Sylfaen" w:hAnsi="Sylfaen"/>
          <w:b/>
          <w:sz w:val="20"/>
          <w:szCs w:val="20"/>
        </w:rPr>
        <w:t xml:space="preserve"> </w:t>
      </w:r>
      <w:r w:rsidR="00B23B9B">
        <w:rPr>
          <w:rFonts w:ascii="Sylfaen" w:hAnsi="Sylfaen"/>
          <w:b/>
          <w:sz w:val="20"/>
          <w:szCs w:val="20"/>
          <w:lang w:val="ka-GE"/>
        </w:rPr>
        <w:t>დეკემბერი</w:t>
      </w:r>
      <w:r w:rsidR="009F10E9" w:rsidRPr="00D60AF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76057" w:rsidRPr="00D60AF7">
        <w:rPr>
          <w:rFonts w:ascii="Sylfaen" w:hAnsi="Sylfaen"/>
          <w:b/>
          <w:sz w:val="20"/>
          <w:szCs w:val="20"/>
          <w:lang w:val="ka-GE"/>
        </w:rPr>
        <w:t>2019</w:t>
      </w:r>
      <w:r w:rsidR="009D07D1" w:rsidRPr="00D60AF7">
        <w:rPr>
          <w:rFonts w:ascii="Sylfaen" w:hAnsi="Sylfaen"/>
          <w:b/>
          <w:sz w:val="20"/>
          <w:szCs w:val="20"/>
          <w:lang w:val="ka-GE"/>
        </w:rPr>
        <w:t xml:space="preserve"> წელი</w:t>
      </w:r>
      <w:r w:rsidR="00CB730B" w:rsidRPr="00D60AF7">
        <w:rPr>
          <w:rFonts w:ascii="AcadNusx" w:hAnsi="AcadNusx"/>
          <w:b/>
          <w:sz w:val="20"/>
          <w:szCs w:val="20"/>
          <w:lang w:val="ka-GE"/>
        </w:rPr>
        <w:t>, 1</w:t>
      </w:r>
      <w:r w:rsidR="009E7D27" w:rsidRPr="00D60AF7">
        <w:rPr>
          <w:rFonts w:ascii="Sylfaen" w:hAnsi="Sylfaen"/>
          <w:b/>
          <w:sz w:val="20"/>
          <w:szCs w:val="20"/>
          <w:lang w:val="ka-GE"/>
        </w:rPr>
        <w:t>4</w:t>
      </w:r>
      <w:r w:rsidR="008E16DA" w:rsidRPr="00D60AF7">
        <w:rPr>
          <w:rFonts w:ascii="AcadNusx" w:hAnsi="AcadNusx"/>
          <w:b/>
          <w:sz w:val="20"/>
          <w:szCs w:val="20"/>
          <w:lang w:val="ka-GE"/>
        </w:rPr>
        <w:t>:00</w:t>
      </w:r>
      <w:r w:rsidR="00276F7A" w:rsidRPr="00D60AF7">
        <w:rPr>
          <w:rFonts w:ascii="Sylfaen" w:hAnsi="Sylfaen"/>
          <w:b/>
          <w:sz w:val="20"/>
          <w:szCs w:val="20"/>
          <w:lang w:val="ka-GE"/>
        </w:rPr>
        <w:t xml:space="preserve"> სთ</w:t>
      </w:r>
      <w:r w:rsidR="00580531" w:rsidRPr="00D60AF7">
        <w:rPr>
          <w:rFonts w:ascii="Sylfaen" w:hAnsi="Sylfaen"/>
          <w:b/>
          <w:sz w:val="20"/>
          <w:szCs w:val="20"/>
          <w:lang w:val="ka-GE"/>
        </w:rPr>
        <w:t>.</w:t>
      </w:r>
    </w:p>
    <w:p w14:paraId="033FAB4E" w14:textId="77777777" w:rsidR="00845E69" w:rsidRPr="00845E69" w:rsidRDefault="00845E69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AF4742" w14:textId="77777777" w:rsidR="00B23B9B" w:rsidRPr="00845E69" w:rsidRDefault="00B23B9B" w:rsidP="00B23B9B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წარმომადგენელი:</w:t>
      </w:r>
    </w:p>
    <w:p w14:paraId="374D72CA" w14:textId="77777777" w:rsidR="00B23B9B" w:rsidRPr="00845E69" w:rsidRDefault="00B23B9B" w:rsidP="00B23B9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ქეთევან კანდელაკი</w:t>
      </w:r>
    </w:p>
    <w:p w14:paraId="3139719F" w14:textId="77777777" w:rsidR="00B23B9B" w:rsidRPr="00845E69" w:rsidRDefault="00B23B9B" w:rsidP="00B23B9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03C8AA1F" w14:textId="77777777" w:rsidR="00B23B9B" w:rsidRPr="00845E69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Pr="00155A44">
        <w:rPr>
          <w:rFonts w:ascii="Sylfaen" w:hAnsi="Sylfaen"/>
          <w:sz w:val="20"/>
          <w:szCs w:val="20"/>
          <w:lang w:val="ka-GE"/>
        </w:rPr>
        <w:t>kekandelaki</w:t>
      </w:r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44331412" w14:textId="04C36548" w:rsidR="00B23B9B" w:rsidRPr="00155A44" w:rsidRDefault="00B23B9B" w:rsidP="00B23B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 xml:space="preserve">: </w:t>
      </w:r>
      <w:r w:rsidR="00E611F3" w:rsidRPr="00845E69">
        <w:rPr>
          <w:rFonts w:cs="Arial"/>
          <w:sz w:val="20"/>
          <w:szCs w:val="20"/>
          <w:lang w:val="ka-GE"/>
        </w:rPr>
        <w:t xml:space="preserve">+995 322 931111 </w:t>
      </w:r>
      <w:r w:rsidRPr="00845E69">
        <w:rPr>
          <w:rFonts w:ascii="Arial" w:hAnsi="Arial" w:cs="Arial"/>
          <w:sz w:val="20"/>
          <w:szCs w:val="20"/>
          <w:lang w:val="ka-GE"/>
        </w:rPr>
        <w:t xml:space="preserve"> (</w:t>
      </w:r>
      <w:r w:rsidRPr="00845E69">
        <w:rPr>
          <w:rFonts w:cs="Arial"/>
          <w:sz w:val="20"/>
          <w:szCs w:val="20"/>
          <w:lang w:val="ka-GE"/>
        </w:rPr>
        <w:t>1</w:t>
      </w:r>
      <w:r w:rsidRPr="00155A44">
        <w:rPr>
          <w:rFonts w:cs="Arial"/>
          <w:sz w:val="20"/>
          <w:szCs w:val="20"/>
          <w:lang w:val="ka-GE"/>
        </w:rPr>
        <w:t>456</w:t>
      </w:r>
      <w:r w:rsidRPr="00845E69">
        <w:rPr>
          <w:rFonts w:cs="Arial"/>
          <w:sz w:val="20"/>
          <w:szCs w:val="20"/>
          <w:lang w:val="ka-GE"/>
        </w:rPr>
        <w:t xml:space="preserve">); </w:t>
      </w:r>
      <w:r>
        <w:rPr>
          <w:rFonts w:cs="Arial"/>
          <w:sz w:val="20"/>
          <w:szCs w:val="20"/>
        </w:rPr>
        <w:t>599 19 25 00</w:t>
      </w:r>
    </w:p>
    <w:p w14:paraId="7695C1D7" w14:textId="77777777" w:rsidR="00B23B9B" w:rsidRPr="00845E69" w:rsidRDefault="00B23B9B" w:rsidP="00B23B9B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6A3A43FF" w14:textId="77777777" w:rsidR="00B23B9B" w:rsidRPr="00845E69" w:rsidRDefault="00B23B9B" w:rsidP="00B23B9B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584F873F" w14:textId="77777777" w:rsidR="00B23B9B" w:rsidRPr="00845E69" w:rsidRDefault="00B23B9B" w:rsidP="00B23B9B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7E044E28" w14:textId="77777777" w:rsidR="00B23B9B" w:rsidRPr="00155A44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Pr="00155A44">
        <w:rPr>
          <w:rFonts w:ascii="Sylfaen" w:hAnsi="Sylfaen" w:cs="Arial"/>
          <w:sz w:val="20"/>
          <w:szCs w:val="20"/>
          <w:lang w:val="ka-GE"/>
        </w:rPr>
        <w:t>ikhvadagadze@gwp.ge</w:t>
      </w:r>
    </w:p>
    <w:p w14:paraId="06373F4F" w14:textId="77777777" w:rsidR="00B23B9B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ტელ</w:t>
      </w:r>
      <w:r w:rsidRPr="00845E69">
        <w:rPr>
          <w:sz w:val="20"/>
          <w:szCs w:val="20"/>
          <w:lang w:val="ka-GE"/>
        </w:rPr>
        <w:t>.</w:t>
      </w:r>
      <w:r w:rsidRPr="00845E69">
        <w:rPr>
          <w:rFonts w:cs="Arial"/>
          <w:sz w:val="20"/>
          <w:szCs w:val="20"/>
          <w:lang w:val="ka-GE"/>
        </w:rPr>
        <w:t>: +995 322 931111 (114</w:t>
      </w:r>
      <w:r w:rsidRPr="00155A44">
        <w:rPr>
          <w:rFonts w:cs="Arial"/>
          <w:sz w:val="20"/>
          <w:szCs w:val="20"/>
          <w:lang w:val="ka-GE"/>
        </w:rPr>
        <w:t>5</w:t>
      </w:r>
      <w:r w:rsidRPr="00845E69">
        <w:rPr>
          <w:rFonts w:cs="Arial"/>
          <w:sz w:val="20"/>
          <w:szCs w:val="20"/>
          <w:lang w:val="ka-GE"/>
        </w:rPr>
        <w:t>); 599 505 067</w:t>
      </w:r>
    </w:p>
    <w:p w14:paraId="10846709" w14:textId="663ABAEB" w:rsidR="00B23B9B" w:rsidRDefault="00B23B9B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7621A7B4" w14:textId="77777777" w:rsidR="00785165" w:rsidRDefault="00785165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5D644CD7" w14:textId="77777777" w:rsidR="00B23B9B" w:rsidRDefault="00B23B9B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427173A0" w14:textId="144CB263" w:rsidR="00B23B9B" w:rsidRPr="00155A44" w:rsidRDefault="00B23B9B" w:rsidP="00B23B9B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155A44">
        <w:rPr>
          <w:rFonts w:ascii="Sylfaen" w:hAnsi="Sylfaen" w:cs="Arial"/>
          <w:b/>
          <w:sz w:val="20"/>
          <w:szCs w:val="20"/>
          <w:lang w:val="ka-GE"/>
        </w:rPr>
        <w:lastRenderedPageBreak/>
        <w:t xml:space="preserve">ტექნიკურ დეტალებზე საკონტაქტო წარმომადგენელი: </w:t>
      </w:r>
    </w:p>
    <w:p w14:paraId="156D932D" w14:textId="2771871B" w:rsidR="00B23B9B" w:rsidRPr="00785165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785165">
        <w:rPr>
          <w:rFonts w:ascii="Sylfaen" w:hAnsi="Sylfaen" w:cs="Arial"/>
          <w:sz w:val="20"/>
          <w:szCs w:val="20"/>
          <w:lang w:val="ka-GE"/>
        </w:rPr>
        <w:t xml:space="preserve">საკონტაქტო პირი: </w:t>
      </w:r>
      <w:r w:rsidR="00785165" w:rsidRPr="00785165">
        <w:rPr>
          <w:rFonts w:ascii="Sylfaen" w:hAnsi="Sylfaen" w:cs="Arial"/>
          <w:sz w:val="20"/>
          <w:szCs w:val="20"/>
          <w:lang w:val="ka-GE"/>
        </w:rPr>
        <w:t>არჩილ დოლმაზაშვილი</w:t>
      </w:r>
      <w:r w:rsidRPr="00785165">
        <w:rPr>
          <w:rFonts w:ascii="Sylfaen" w:hAnsi="Sylfaen" w:cs="Arial"/>
          <w:sz w:val="20"/>
          <w:szCs w:val="20"/>
          <w:lang w:val="ka-GE"/>
        </w:rPr>
        <w:t xml:space="preserve"> </w:t>
      </w:r>
    </w:p>
    <w:p w14:paraId="27B3D4DB" w14:textId="77777777" w:rsidR="00B23B9B" w:rsidRPr="00785165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785165">
        <w:rPr>
          <w:rFonts w:ascii="Sylfaen" w:hAnsi="Sylfaen" w:cs="Arial"/>
          <w:sz w:val="20"/>
          <w:szCs w:val="20"/>
          <w:lang w:val="ka-GE"/>
        </w:rPr>
        <w:t>მის.: ქ. თბილისი, კოსტავას I შესახვევი, 33</w:t>
      </w:r>
    </w:p>
    <w:p w14:paraId="38F98F2E" w14:textId="46C58191" w:rsidR="00B23B9B" w:rsidRPr="00785165" w:rsidRDefault="00B23B9B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785165">
        <w:rPr>
          <w:rFonts w:ascii="Sylfaen" w:hAnsi="Sylfaen" w:cs="Arial"/>
          <w:sz w:val="20"/>
          <w:szCs w:val="20"/>
          <w:lang w:val="ka-GE"/>
        </w:rPr>
        <w:t xml:space="preserve">ელ. ფოსტა: </w:t>
      </w:r>
      <w:proofErr w:type="spellStart"/>
      <w:r w:rsidR="00785165">
        <w:rPr>
          <w:rFonts w:ascii="Sylfaen" w:hAnsi="Sylfaen" w:cs="Arial"/>
          <w:sz w:val="20"/>
          <w:szCs w:val="20"/>
        </w:rPr>
        <w:t>adolmazashvili</w:t>
      </w:r>
      <w:proofErr w:type="spellEnd"/>
      <w:r w:rsidRPr="00785165">
        <w:rPr>
          <w:rFonts w:ascii="Sylfaen" w:hAnsi="Sylfaen" w:cs="Arial"/>
          <w:sz w:val="20"/>
          <w:szCs w:val="20"/>
          <w:lang w:val="ka-GE"/>
        </w:rPr>
        <w:t>@gwp.ge</w:t>
      </w:r>
    </w:p>
    <w:p w14:paraId="58F6A556" w14:textId="6390C2E1" w:rsidR="00B23B9B" w:rsidRPr="00785165" w:rsidRDefault="00785165" w:rsidP="00B23B9B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785165">
        <w:rPr>
          <w:rFonts w:ascii="Sylfaen" w:hAnsi="Sylfaen" w:cs="Arial"/>
          <w:sz w:val="20"/>
          <w:szCs w:val="20"/>
          <w:lang w:val="ka-GE"/>
        </w:rPr>
        <w:t>ტელ.: +995 322 931111 (1221</w:t>
      </w:r>
      <w:r w:rsidR="00B23B9B" w:rsidRPr="00785165">
        <w:rPr>
          <w:rFonts w:ascii="Sylfaen" w:hAnsi="Sylfaen" w:cs="Arial"/>
          <w:sz w:val="20"/>
          <w:szCs w:val="20"/>
          <w:lang w:val="ka-GE"/>
        </w:rPr>
        <w:t xml:space="preserve">); </w:t>
      </w:r>
      <w:r w:rsidRPr="00785165">
        <w:rPr>
          <w:rFonts w:ascii="Sylfaen" w:hAnsi="Sylfaen" w:cs="Arial"/>
          <w:sz w:val="20"/>
          <w:szCs w:val="20"/>
          <w:lang w:val="ka-GE"/>
        </w:rPr>
        <w:t>591 12 22 21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34D31B4B" w14:textId="737B7994" w:rsidR="00A50438" w:rsidRPr="00845E69" w:rsidRDefault="000202A5" w:rsidP="00383B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1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1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4C6BA9E3" w:rsidR="00833770" w:rsidRPr="00845E69" w:rsidRDefault="000202A5" w:rsidP="00F17065">
      <w:pPr>
        <w:pStyle w:val="ListParagraph"/>
        <w:numPr>
          <w:ilvl w:val="0"/>
          <w:numId w:val="27"/>
        </w:numPr>
        <w:spacing w:after="0" w:line="360" w:lineRule="auto"/>
        <w:ind w:left="450" w:firstLine="0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7711A185" w:rsidR="004A3BD8" w:rsidRPr="00E611F3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კომერციული წინადადება</w:t>
      </w:r>
      <w:r w:rsidR="00015325">
        <w:rPr>
          <w:rFonts w:ascii="Sylfaen" w:hAnsi="Sylfaen"/>
          <w:sz w:val="20"/>
          <w:szCs w:val="20"/>
          <w:lang w:val="ka-GE"/>
        </w:rPr>
        <w:t xml:space="preserve"> - </w:t>
      </w:r>
      <w:r w:rsidR="00015325" w:rsidRPr="00015325">
        <w:rPr>
          <w:rFonts w:ascii="Sylfaen" w:hAnsi="Sylfaen"/>
          <w:b/>
          <w:sz w:val="20"/>
          <w:szCs w:val="20"/>
          <w:lang w:val="ka-GE"/>
        </w:rPr>
        <w:t>დანართი 2-ის სახით</w:t>
      </w:r>
      <w:r w:rsidRPr="00015325">
        <w:rPr>
          <w:rFonts w:ascii="Sylfaen" w:hAnsi="Sylfaen"/>
          <w:b/>
          <w:sz w:val="20"/>
          <w:szCs w:val="20"/>
          <w:lang w:val="ka-GE"/>
        </w:rPr>
        <w:t>,</w:t>
      </w:r>
      <w:r w:rsidRPr="00845E69">
        <w:rPr>
          <w:rFonts w:ascii="Sylfaen" w:hAnsi="Sylfaen"/>
          <w:sz w:val="20"/>
          <w:szCs w:val="20"/>
          <w:lang w:val="ka-GE"/>
        </w:rPr>
        <w:t xml:space="preserve"> რომელიც უნდა მოიცავდეს </w:t>
      </w:r>
      <w:r w:rsidR="00A74B75" w:rsidRPr="00845E69">
        <w:rPr>
          <w:rFonts w:ascii="Sylfaen" w:hAnsi="Sylfaen"/>
          <w:sz w:val="20"/>
          <w:szCs w:val="20"/>
          <w:lang w:val="ka-GE"/>
        </w:rPr>
        <w:t>განფასებას</w:t>
      </w:r>
      <w:r w:rsidR="00552EC1" w:rsidRPr="00845E69">
        <w:rPr>
          <w:rFonts w:ascii="Sylfaen" w:hAnsi="Sylfaen"/>
          <w:sz w:val="20"/>
          <w:szCs w:val="20"/>
          <w:lang w:val="ka-GE"/>
        </w:rPr>
        <w:t xml:space="preserve"> დანართი </w:t>
      </w:r>
      <w:r w:rsidR="004E74A3">
        <w:rPr>
          <w:rFonts w:ascii="Sylfaen" w:hAnsi="Sylfaen"/>
          <w:sz w:val="20"/>
          <w:szCs w:val="20"/>
          <w:lang w:val="ka-GE"/>
        </w:rPr>
        <w:t>1</w:t>
      </w:r>
      <w:r w:rsidR="00B23B9B">
        <w:rPr>
          <w:rFonts w:ascii="Sylfaen" w:hAnsi="Sylfaen"/>
          <w:sz w:val="20"/>
          <w:szCs w:val="20"/>
          <w:lang w:val="ka-GE"/>
        </w:rPr>
        <w:t>-</w:t>
      </w:r>
      <w:r w:rsidR="00552EC1" w:rsidRPr="00845E69">
        <w:rPr>
          <w:rFonts w:ascii="Sylfaen" w:hAnsi="Sylfaen"/>
          <w:sz w:val="20"/>
          <w:szCs w:val="20"/>
          <w:lang w:val="ka-GE"/>
        </w:rPr>
        <w:t>ის</w:t>
      </w:r>
      <w:r w:rsidR="00015325">
        <w:rPr>
          <w:rFonts w:ascii="Sylfaen" w:hAnsi="Sylfaen"/>
          <w:sz w:val="20"/>
          <w:szCs w:val="20"/>
          <w:lang w:val="ka-GE"/>
        </w:rPr>
        <w:t xml:space="preserve"> მოთხოვნების შესაბამისად, </w:t>
      </w:r>
      <w:r w:rsidR="00F16BBA">
        <w:rPr>
          <w:rFonts w:ascii="Sylfaen" w:hAnsi="Sylfaen"/>
          <w:sz w:val="20"/>
          <w:szCs w:val="20"/>
          <w:lang w:val="ka-GE"/>
        </w:rPr>
        <w:t xml:space="preserve">თითო </w:t>
      </w:r>
      <w:r w:rsidR="00015325">
        <w:rPr>
          <w:rFonts w:ascii="Sylfaen" w:hAnsi="Sylfaen"/>
          <w:sz w:val="20"/>
          <w:szCs w:val="20"/>
          <w:lang w:val="ka-GE"/>
        </w:rPr>
        <w:t>რეზერვუარის</w:t>
      </w:r>
      <w:r w:rsidR="00E76A02">
        <w:rPr>
          <w:rFonts w:ascii="Sylfaen" w:hAnsi="Sylfaen"/>
          <w:sz w:val="20"/>
          <w:szCs w:val="20"/>
        </w:rPr>
        <w:t xml:space="preserve"> </w:t>
      </w:r>
      <w:r w:rsidR="00E76A02">
        <w:rPr>
          <w:rFonts w:ascii="Sylfaen" w:hAnsi="Sylfaen"/>
          <w:sz w:val="20"/>
          <w:szCs w:val="20"/>
          <w:lang w:val="ka-GE"/>
        </w:rPr>
        <w:t>შესასრულებელი სამუშაოების</w:t>
      </w:r>
      <w:r w:rsidR="00F16BBA">
        <w:rPr>
          <w:rFonts w:ascii="Sylfaen" w:hAnsi="Sylfaen"/>
          <w:sz w:val="20"/>
          <w:szCs w:val="20"/>
          <w:lang w:val="ka-GE"/>
        </w:rPr>
        <w:t xml:space="preserve"> განფასება და ტექნიკური სამუშაოების დეტალური აღწერა. 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  <w:bookmarkStart w:id="2" w:name="_GoBack"/>
      <w:bookmarkEnd w:id="2"/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11FB0668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ენაზე)</w:t>
      </w:r>
      <w:bookmarkStart w:id="3" w:name="_Toc454818563"/>
    </w:p>
    <w:bookmarkEnd w:id="3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57BB580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ხელშეკრულება 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7DF8DA4D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</w:t>
      </w:r>
      <w:r w:rsidR="00341D06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ტექნიკური </w:t>
      </w: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 მოთხოვნების აღწერა </w:t>
      </w:r>
    </w:p>
    <w:p w14:paraId="1FDDBF45" w14:textId="4EAF492C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383BA5">
        <w:rPr>
          <w:rFonts w:ascii="Sylfaen" w:eastAsiaTheme="minorHAnsi" w:hAnsi="Sylfaen"/>
          <w:b/>
          <w:i/>
          <w:sz w:val="20"/>
          <w:szCs w:val="20"/>
        </w:rPr>
        <w:t>2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: </w:t>
      </w:r>
      <w:r w:rsidR="00341D06">
        <w:rPr>
          <w:rFonts w:ascii="Sylfaen" w:eastAsiaTheme="minorHAnsi" w:hAnsi="Sylfaen"/>
          <w:b/>
          <w:i/>
          <w:sz w:val="20"/>
          <w:szCs w:val="20"/>
          <w:lang w:val="ka-GE"/>
        </w:rPr>
        <w:t>რეზერვუარების ჩამონათვალი განფასებისათვის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B23B9B">
      <w:headerReference w:type="default" r:id="rId8"/>
      <w:footerReference w:type="default" r:id="rId9"/>
      <w:pgSz w:w="12240" w:h="15840"/>
      <w:pgMar w:top="1134" w:right="810" w:bottom="126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345E" w14:textId="77777777" w:rsidR="003418B0" w:rsidRDefault="003418B0" w:rsidP="007902EA">
      <w:pPr>
        <w:spacing w:after="0" w:line="240" w:lineRule="auto"/>
      </w:pPr>
      <w:r>
        <w:separator/>
      </w:r>
    </w:p>
  </w:endnote>
  <w:endnote w:type="continuationSeparator" w:id="0">
    <w:p w14:paraId="589AF2BB" w14:textId="77777777" w:rsidR="003418B0" w:rsidRDefault="003418B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ACE357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A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293D" w14:textId="77777777" w:rsidR="003418B0" w:rsidRDefault="003418B0" w:rsidP="007902EA">
      <w:pPr>
        <w:spacing w:after="0" w:line="240" w:lineRule="auto"/>
      </w:pPr>
      <w:r>
        <w:separator/>
      </w:r>
    </w:p>
  </w:footnote>
  <w:footnote w:type="continuationSeparator" w:id="0">
    <w:p w14:paraId="0AA06E09" w14:textId="77777777" w:rsidR="003418B0" w:rsidRDefault="003418B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AF29" w14:textId="77777777" w:rsidR="00F16BBA" w:rsidRDefault="00F16BBA" w:rsidP="00F16BBA">
    <w:pPr>
      <w:spacing w:after="0" w:line="240" w:lineRule="auto"/>
      <w:jc w:val="right"/>
      <w:rPr>
        <w:rFonts w:ascii="Sylfaen" w:hAnsi="Sylfaen"/>
        <w:b/>
        <w:lang w:val="ka-GE"/>
      </w:rPr>
    </w:pPr>
    <w:r>
      <w:rPr>
        <w:rFonts w:ascii="Sylfaen" w:hAnsi="Sylfaen" w:cs="Sylfaen"/>
        <w:b/>
        <w:bCs/>
        <w:szCs w:val="28"/>
        <w:lang w:val="ka-GE"/>
      </w:rPr>
      <w:t xml:space="preserve">ტენდერი </w:t>
    </w:r>
    <w:r>
      <w:rPr>
        <w:rFonts w:ascii="Sylfaen" w:hAnsi="Sylfaen"/>
        <w:b/>
        <w:lang w:val="ka-GE"/>
      </w:rPr>
      <w:t xml:space="preserve">44 რეზერვუარის ინტერნეტკავშირით </w:t>
    </w:r>
  </w:p>
  <w:p w14:paraId="19F8B032" w14:textId="77922D7B" w:rsidR="00F16BBA" w:rsidRDefault="00F16BBA" w:rsidP="00F16BBA">
    <w:pPr>
      <w:spacing w:after="0" w:line="240" w:lineRule="auto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/>
        <w:b/>
        <w:lang w:val="ka-GE"/>
      </w:rPr>
      <w:t>უზრუნველყოფის შესახებ</w:t>
    </w:r>
  </w:p>
  <w:p w14:paraId="6385DE27" w14:textId="3F1AF814" w:rsidR="00B23B9B" w:rsidRPr="00065212" w:rsidRDefault="00B23B9B" w:rsidP="00F16BBA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rFonts w:ascii="Sylfaen" w:hAnsi="Sylfaen"/>
        <w:b/>
        <w:sz w:val="18"/>
        <w:szCs w:val="18"/>
        <w:lang w:val="ka-GE"/>
      </w:rPr>
      <w:t xml:space="preserve">                                                                       </w:t>
    </w:r>
    <w:r w:rsidRPr="00065212">
      <w:rPr>
        <w:rFonts w:ascii="Sylfaen" w:hAnsi="Sylfaen"/>
        <w:b/>
        <w:sz w:val="18"/>
        <w:szCs w:val="18"/>
        <w:lang w:val="ka-GE"/>
      </w:rPr>
      <w:t>№</w:t>
    </w:r>
    <w:r w:rsidRPr="0006521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10</w:t>
    </w:r>
    <w:r w:rsidR="00F16BBA">
      <w:rPr>
        <w:rFonts w:ascii="Sylfaen" w:hAnsi="Sylfaen"/>
        <w:b/>
        <w:sz w:val="18"/>
        <w:szCs w:val="18"/>
        <w:lang w:val="ka-GE"/>
      </w:rPr>
      <w:t>4</w:t>
    </w:r>
    <w:r w:rsidRPr="00065212">
      <w:rPr>
        <w:rFonts w:ascii="Sylfaen" w:hAnsi="Sylfaen" w:cs="Sylfaen"/>
        <w:b/>
        <w:sz w:val="20"/>
        <w:szCs w:val="20"/>
        <w:lang w:val="ka-GE"/>
      </w:rPr>
      <w:t>-</w:t>
    </w:r>
    <w:r w:rsidRPr="00065212">
      <w:rPr>
        <w:rFonts w:ascii="Sylfaen" w:hAnsi="Sylfaen" w:cs="Sylfaen"/>
        <w:b/>
        <w:sz w:val="20"/>
        <w:szCs w:val="20"/>
        <w:lang w:val="en-GB"/>
      </w:rPr>
      <w:t>BID-1</w:t>
    </w:r>
    <w:r w:rsidRPr="00065212">
      <w:rPr>
        <w:rFonts w:ascii="Sylfaen" w:hAnsi="Sylfaen" w:cs="Sylfaen"/>
        <w:b/>
        <w:sz w:val="20"/>
        <w:szCs w:val="20"/>
        <w:lang w:val="ka-GE"/>
      </w:rPr>
      <w:t>9</w:t>
    </w:r>
  </w:p>
  <w:p w14:paraId="2405FA22" w14:textId="209A5CC5" w:rsidR="004A3BD8" w:rsidRPr="00065212" w:rsidRDefault="00845E69" w:rsidP="00024B33">
    <w:pPr>
      <w:spacing w:after="0" w:line="240" w:lineRule="auto"/>
      <w:ind w:left="142"/>
      <w:jc w:val="right"/>
      <w:rPr>
        <w:rFonts w:ascii="Sylfaen" w:hAnsi="Sylfaen"/>
        <w:b/>
        <w:bCs/>
        <w:sz w:val="18"/>
        <w:szCs w:val="18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6" name="Picture 6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15325"/>
    <w:rsid w:val="000202A5"/>
    <w:rsid w:val="00024B33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84F96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202451"/>
    <w:rsid w:val="0020303D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274C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5EF4"/>
    <w:rsid w:val="002D611B"/>
    <w:rsid w:val="003011B3"/>
    <w:rsid w:val="00302948"/>
    <w:rsid w:val="00303697"/>
    <w:rsid w:val="00305A62"/>
    <w:rsid w:val="00316C88"/>
    <w:rsid w:val="00320878"/>
    <w:rsid w:val="0033101C"/>
    <w:rsid w:val="003418B0"/>
    <w:rsid w:val="00341D06"/>
    <w:rsid w:val="00357317"/>
    <w:rsid w:val="003573F4"/>
    <w:rsid w:val="00383BA5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722CF"/>
    <w:rsid w:val="00483B17"/>
    <w:rsid w:val="0048659C"/>
    <w:rsid w:val="00497393"/>
    <w:rsid w:val="004A3BD8"/>
    <w:rsid w:val="004A662D"/>
    <w:rsid w:val="004B09C9"/>
    <w:rsid w:val="004C7207"/>
    <w:rsid w:val="004D3679"/>
    <w:rsid w:val="004D3D1C"/>
    <w:rsid w:val="004D747F"/>
    <w:rsid w:val="004E74A3"/>
    <w:rsid w:val="00510C5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D6030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6489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44E"/>
    <w:rsid w:val="00764A65"/>
    <w:rsid w:val="00772078"/>
    <w:rsid w:val="007778CE"/>
    <w:rsid w:val="0078436F"/>
    <w:rsid w:val="00785165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45E69"/>
    <w:rsid w:val="0085050B"/>
    <w:rsid w:val="00867825"/>
    <w:rsid w:val="008751D7"/>
    <w:rsid w:val="00876B2D"/>
    <w:rsid w:val="00876B9D"/>
    <w:rsid w:val="0088287D"/>
    <w:rsid w:val="00882D9A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E7D27"/>
    <w:rsid w:val="009F0B8A"/>
    <w:rsid w:val="009F10E9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64ECE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7BFB"/>
    <w:rsid w:val="00B110A0"/>
    <w:rsid w:val="00B137F3"/>
    <w:rsid w:val="00B156A3"/>
    <w:rsid w:val="00B23313"/>
    <w:rsid w:val="00B23B9B"/>
    <w:rsid w:val="00B30838"/>
    <w:rsid w:val="00B42689"/>
    <w:rsid w:val="00B47896"/>
    <w:rsid w:val="00B47D4C"/>
    <w:rsid w:val="00B5249E"/>
    <w:rsid w:val="00B5452A"/>
    <w:rsid w:val="00B830F8"/>
    <w:rsid w:val="00B833E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F8C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0AF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11F3"/>
    <w:rsid w:val="00E6248F"/>
    <w:rsid w:val="00E65074"/>
    <w:rsid w:val="00E6523B"/>
    <w:rsid w:val="00E751A2"/>
    <w:rsid w:val="00E76057"/>
    <w:rsid w:val="00E76A02"/>
    <w:rsid w:val="00E94223"/>
    <w:rsid w:val="00E95292"/>
    <w:rsid w:val="00EA344B"/>
    <w:rsid w:val="00EE0C47"/>
    <w:rsid w:val="00EF34FE"/>
    <w:rsid w:val="00EF7F05"/>
    <w:rsid w:val="00F0297E"/>
    <w:rsid w:val="00F0659D"/>
    <w:rsid w:val="00F069C7"/>
    <w:rsid w:val="00F115A1"/>
    <w:rsid w:val="00F14024"/>
    <w:rsid w:val="00F16BBA"/>
    <w:rsid w:val="00F17065"/>
    <w:rsid w:val="00F17B32"/>
    <w:rsid w:val="00F20E56"/>
    <w:rsid w:val="00F22E5C"/>
    <w:rsid w:val="00F27A96"/>
    <w:rsid w:val="00F34574"/>
    <w:rsid w:val="00F40803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E6D9-5CEF-4CA4-ADC6-207EDEC5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27</cp:revision>
  <cp:lastPrinted>2019-02-13T12:10:00Z</cp:lastPrinted>
  <dcterms:created xsi:type="dcterms:W3CDTF">2019-02-13T12:22:00Z</dcterms:created>
  <dcterms:modified xsi:type="dcterms:W3CDTF">2019-11-20T11:44:00Z</dcterms:modified>
</cp:coreProperties>
</file>